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8cf824ce88346e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30058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GRADSKA KNJIŽNICA OMIŠ</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175.810,72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18.681,59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20.152,56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17.184,76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1168,3</w:t>
            </w:r>
          </w:p>
        </w:tc>
      </w:tr>
    </w:tbl>
    <w:p>
      <w:pPr>
        <w:spacing w:before="0" w:after="0"/>
      </w:pPr>
    </w:p>
    <w:p>
      <w:r>
        <w:t xml:space="preserve">Ukupni prihodi poslovanja Gradske knjižnice Omiš iznose 176.559,81 EUR.  </w:t>
      </w:r>
    </w:p>
    <w:p>
      <w:r>
        <w:t xml:space="preserve">Prihodi se odnose na:  </w:t>
      </w:r>
    </w:p>
    <w:p>
      <w:r>
        <w:t xml:space="preserve">- prihode iz nadležnog proračuna - proračuna Grada Omiša – 151.364,04 EUR </w:t>
      </w:r>
    </w:p>
    <w:p>
      <w:r>
        <w:t xml:space="preserve">- prihode od uplata članarina i zakasnina – 9.728,50 EUR  </w:t>
      </w:r>
    </w:p>
    <w:p>
      <w:r>
        <w:t xml:space="preserve">- prihode od pruženih usluga (kopiranje) – 2.607,20 EUR</w:t>
      </w:r>
    </w:p>
    <w:p>
      <w:r>
        <w:t xml:space="preserve">- prihode od donacija - 500,00 EUR  </w:t>
      </w:r>
    </w:p>
    <w:p>
      <w:r>
        <w:t xml:space="preserve">- prihode kamata na depozite po viđenju - 0,07 EUR  </w:t>
      </w:r>
    </w:p>
    <w:p>
      <w:r>
        <w:t xml:space="preserve">- tekuće pomoći proračunskim korisnicima iz proračuna koji im nije nadležan – 12.360,00 EUR, koje se sastoje od uplata Ministarstva kulture i medija za financiranje Programa otkupa knjiga u iznosu od 6.860,00 EUR te za financiranje Programa  knjižnične djelatnosti: Književno – kulturna manifestacija “Jurini jablani“ iznos od 1.000,00 EUR i 4.500,00 EUR - Nabava knjižne i neknjižne građe</w:t>
      </w:r>
    </w:p>
    <w:p>
      <w:r>
        <w:t xml:space="preserve">Ukupni rashodi poslovanja ostvareni su u iznosu od 175.810,72 EUR.  </w:t>
      </w:r>
    </w:p>
    <w:p>
      <w:r>
        <w:t xml:space="preserve">Obuhvaćaju rashode za zaposlene – 141.697,80 EUR, materijalne rashode – 33.650,49 EUR i financijske rashode – 462,43 EUR.    </w:t>
      </w:r>
    </w:p>
    <w:p>
      <w:r>
        <w:t xml:space="preserve">Ukupni prihodi poslovanja iznose 176.559,81 EUR i rashodi poslovanja 175.810,72 EUR, što donosi ostvareni višak prihoda poslovanja u iznosu od 749,09 EUR.</w:t>
      </w:r>
    </w:p>
    <w:p>
      <w:r>
        <w:t xml:space="preserve">Nisu ostvareni prihodi od prodaje nefinancijske imovine, rashodi za nabavu nefinancijske imovine iznose 17.933,85 EUR te taj iznos predstavlja manjak prihoda od nefinancijske imovine.</w:t>
      </w:r>
    </w:p>
    <w:p>
      <w:r>
        <w:t xml:space="preserve">Ukupan manjak prihoda i primitaka u razdoblju od 1. siječnja do 31. prosinca 2025. godine iznosi 17.184,76 EUR.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Ukupni prihodi ostvareni su u iznosu od 176.559,81 EUR, što je 18,6% više u odnosu na isto razdoblje prošle godine.  Na povećanje prihoda najvećim dijelom je utjecalo povećanje ostvarenih prihoda iz nadležnog proračuna.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175.810,72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bl>
    <w:p>
      <w:pPr>
        <w:spacing w:before="0" w:after="0"/>
      </w:pPr>
    </w:p>
    <w:p>
      <w:r>
        <w:t xml:space="preserve">Rashodi poslovanja za 2025. godinu su veći za 35% u odnosu na prethodnu godinu zbog više razloga. Osim poskupljenja svih troškova za potrebe redovnog poslovanja, razlog je i u tome što izvještaj sadrži poslovne događaje evidentirane prema odredbama novog Pravilnika o proračunskom računovodstvu i Računskom planu.  Najveći udio u povećanim rashodima su rashodi za plaće, koje se evidentiraju po načelu nastanka događaja, tako su plaće za prosinac 2025. evidentirane na dan 31.12.2025.</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320,6</w:t>
            </w:r>
          </w:p>
        </w:tc>
      </w:tr>
    </w:tbl>
    <w:p>
      <w:pPr>
        <w:spacing w:before="0" w:after="0"/>
      </w:pPr>
    </w:p>
    <w:p>
      <w:r>
        <w:t xml:space="preserve">Rashodi za računalne usluge ove godine su veći u odnosu na prethodnu godinu zbog toga što Gradska knjižnica Omiš od 01. siječnja 2025. godine ne koristi vanjske suradnike za poslove računovodstva, već ima odjel računovodstva unutar ustanove te je usluga programske podrške za te poslove dovela do povećanja rashoda za računalne usluge.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375,5</w:t>
            </w:r>
          </w:p>
        </w:tc>
      </w:tr>
    </w:tbl>
    <w:p>
      <w:pPr>
        <w:spacing w:before="0" w:after="0"/>
      </w:pPr>
    </w:p>
    <w:p>
      <w:r>
        <w:t xml:space="preserve">Ostali nespomenuti rashodi poslovanja su ove godine veći zbog toga što je ustanova imala više rashoda za poslove protokola u odnosu na prethodnu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w:t>
            </w:r>
          </w:p>
        </w:tc>
      </w:tr>
    </w:tbl>
    <w:p>
      <w:pPr>
        <w:spacing w:before="0" w:after="0"/>
      </w:pPr>
    </w:p>
    <w:p>
      <w:r>
        <w:t xml:space="preserve">U 2025. ostvaren je tekući manjak prihoda od nefinancijske imovine jer se nabavljena nefinancijska imovina financira tekućim prihodom poslovanja.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1168,3</w:t>
            </w:r>
          </w:p>
        </w:tc>
      </w:tr>
    </w:tbl>
    <w:p>
      <w:pPr>
        <w:spacing w:before="0" w:after="0"/>
      </w:pPr>
    </w:p>
    <w:p>
      <w:r>
        <w:t xml:space="preserve">Na kraju izvještajnog razdoblja za 2025. godinu ostvaren je ukupan manjak prihoda i primtaka u iznosu od 17.184,76 EUR jer su rashodi tekuće godine financirani prenesenim viškom poslovanja te zbog rashoda plaća za prosinac 2025. koji će se pokriti prihodima doznačenim u siječnju sljedeće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manjak prihoda i primitaka u iznosu od 17.184,76 EUR (Y005) u razdoblju od 1. siječnja do 31. prosinca 2025. godine uz preneseni višak prihoda i primitaka iz 2024. godine u iznosu od 10.162,59 EUR (9221-9222) daju ukupni manjak prihoda i primitaka za pokriće u sljedećem razdoblju u iznosu od 7.022,17 EUR (Y006).</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 </w:t>
      </w:r>
    </w:p>
    <w:tbl>
      <w:tblPr>
        <w:tblStyle w:val="TableGrid"/>
        <w:tblW w:w="2810.35" w:type="pct"/>
      </w:tblPr>
      <w:tblGrid>
        <w:gridCol w:w="909"/>
        <w:gridCol w:w="3249"/>
        <w:gridCol w:w="1832"/>
        <w:gridCol w:w="3634"/>
      </w:tblGrid>
      <w:tr>
        <w:trPr/>
        <w:tc>
          <w:tcPr>
            <w:tcW w:w="472" w:type="pct"/>
            <w:vAlign w:val="center"/>
          </w:tcPr>
          <w:p>
            <w:pPr>
              <w:keepNext/>
              <w:jc w:val="center"/>
            </w:pPr>
            <w:r>
              <w:t xml:space="preserve">Konto</w:t>
            </w:r>
          </w:p>
        </w:tc>
        <w:tc>
          <w:tcPr>
            <w:tcW w:w="1688" w:type="pct"/>
            <w:vAlign w:val="center"/>
          </w:tcPr>
          <w:p>
            <w:pPr>
              <w:keepNext/>
              <w:jc w:val="center"/>
            </w:pPr>
            <w:r>
              <w:t xml:space="preserve">Opis</w:t>
            </w:r>
          </w:p>
        </w:tc>
        <w:tc>
          <w:tcPr>
            <w:tcW w:w="951" w:type="pct"/>
            <w:vAlign w:val="center"/>
          </w:tcPr>
          <w:p>
            <w:pPr>
              <w:keepNext/>
              <w:jc w:val="center"/>
            </w:pPr>
            <w:r>
              <w:t xml:space="preserve">Iznos</w:t>
            </w:r>
          </w:p>
        </w:tc>
        <w:tc>
          <w:tcPr>
            <w:tcW w:w="1888" w:type="pct"/>
            <w:vAlign w:val="center"/>
          </w:tcPr>
          <w:p>
            <w:pPr>
              <w:keepNext/>
              <w:jc w:val="center"/>
            </w:pPr>
            <w:r>
              <w:t xml:space="preserve">IF</w:t>
            </w:r>
          </w:p>
        </w:tc>
      </w:tr>
      <w:tr>
        <w:trPr/>
        <w:tc>
          <w:tcPr>
            <w:tcW w:w="472" w:type="pct"/>
            <w:vAlign w:val="center"/>
          </w:tcPr>
          <w:p>
            <w:pPr>
              <w:keepNext/>
              <w:jc w:val="center"/>
            </w:pPr>
            <w:r>
              <w:t xml:space="preserve"> </w:t>
            </w:r>
          </w:p>
        </w:tc>
        <w:tc>
          <w:tcPr>
            <w:tcW w:w="1688" w:type="pct"/>
            <w:vAlign w:val="center"/>
          </w:tcPr>
          <w:p>
            <w:pPr>
              <w:keepNext/>
              <w:jc w:val="center"/>
            </w:pPr>
            <w:r>
              <w:t xml:space="preserve">PRIHODI POSLOVANJA</w:t>
            </w:r>
          </w:p>
        </w:tc>
        <w:tc>
          <w:tcPr>
            <w:tcW w:w="951" w:type="pct"/>
            <w:vAlign w:val="center"/>
          </w:tcPr>
          <w:p>
            <w:pPr>
              <w:keepNext/>
              <w:jc w:val="center"/>
            </w:pPr>
            <w:r>
              <w:t xml:space="preserve">176.559,81</w:t>
            </w:r>
          </w:p>
        </w:tc>
        <w:tc>
          <w:tcPr>
            <w:tcW w:w="1888" w:type="pct"/>
            <w:vAlign w:val="center"/>
          </w:tcPr>
          <w:p>
            <w:pPr>
              <w:keepNext/>
              <w:jc w:val="center"/>
            </w:pPr>
            <w:r>
              <w:t xml:space="preserve"> </w:t>
            </w:r>
          </w:p>
        </w:tc>
      </w:tr>
      <w:tr>
        <w:trPr/>
        <w:tc>
          <w:tcPr>
            <w:tcW w:w="472" w:type="pct"/>
            <w:vAlign w:val="center"/>
          </w:tcPr>
          <w:p>
            <w:pPr>
              <w:keepNext/>
              <w:jc w:val="center"/>
            </w:pPr>
            <w:r>
              <w:t xml:space="preserve">6361</w:t>
            </w:r>
          </w:p>
        </w:tc>
        <w:tc>
          <w:tcPr>
            <w:tcW w:w="1688" w:type="pct"/>
            <w:vAlign w:val="center"/>
          </w:tcPr>
          <w:p>
            <w:pPr>
              <w:keepNext/>
              <w:jc w:val="left"/>
            </w:pPr>
            <w:r>
              <w:t xml:space="preserve">Tekuće pomoći prorač. korisnicima iz proračuna koji im nije nadležan</w:t>
            </w:r>
          </w:p>
        </w:tc>
        <w:tc>
          <w:tcPr>
            <w:tcW w:w="951" w:type="pct"/>
            <w:vAlign w:val="center"/>
          </w:tcPr>
          <w:p>
            <w:pPr>
              <w:keepNext/>
              <w:jc w:val="center"/>
            </w:pPr>
            <w:r>
              <w:t xml:space="preserve">12.360,00</w:t>
            </w:r>
          </w:p>
        </w:tc>
        <w:tc>
          <w:tcPr>
            <w:tcW w:w="1888" w:type="pct"/>
            <w:vAlign w:val="center"/>
          </w:tcPr>
          <w:p>
            <w:pPr>
              <w:keepNext/>
              <w:jc w:val="center"/>
            </w:pPr>
            <w:r>
              <w:t xml:space="preserve">5. Pomoći</w:t>
            </w:r>
          </w:p>
        </w:tc>
      </w:tr>
      <w:tr>
        <w:trPr/>
        <w:tc>
          <w:tcPr>
            <w:tcW w:w="472" w:type="pct"/>
            <w:vAlign w:val="center"/>
          </w:tcPr>
          <w:p>
            <w:pPr>
              <w:keepNext/>
              <w:jc w:val="center"/>
            </w:pPr>
            <w:r>
              <w:t xml:space="preserve">6413</w:t>
            </w:r>
          </w:p>
        </w:tc>
        <w:tc>
          <w:tcPr>
            <w:tcW w:w="1688" w:type="pct"/>
            <w:vAlign w:val="center"/>
          </w:tcPr>
          <w:p>
            <w:pPr>
              <w:keepNext/>
              <w:jc w:val="left"/>
            </w:pPr>
            <w:r>
              <w:t xml:space="preserve">Kamate na depozite po viđenju</w:t>
            </w:r>
          </w:p>
        </w:tc>
        <w:tc>
          <w:tcPr>
            <w:tcW w:w="951" w:type="pct"/>
            <w:vAlign w:val="center"/>
          </w:tcPr>
          <w:p>
            <w:pPr>
              <w:keepNext/>
              <w:jc w:val="center"/>
            </w:pPr>
            <w:r>
              <w:t xml:space="preserve">0,07</w:t>
            </w:r>
          </w:p>
        </w:tc>
        <w:tc>
          <w:tcPr>
            <w:tcW w:w="1888" w:type="pct"/>
            <w:vAlign w:val="center"/>
          </w:tcPr>
          <w:p>
            <w:pPr>
              <w:keepNext/>
              <w:jc w:val="center"/>
            </w:pPr>
            <w:r>
              <w:t xml:space="preserve">1.2.  Prihodi od imovine, pristojbi i kazni</w:t>
            </w:r>
          </w:p>
        </w:tc>
      </w:tr>
      <w:tr>
        <w:trPr/>
        <w:tc>
          <w:tcPr>
            <w:tcW w:w="472" w:type="pct"/>
            <w:vAlign w:val="center"/>
          </w:tcPr>
          <w:p>
            <w:pPr>
              <w:keepNext/>
              <w:jc w:val="center"/>
            </w:pPr>
            <w:r>
              <w:t xml:space="preserve">6526</w:t>
            </w:r>
          </w:p>
        </w:tc>
        <w:tc>
          <w:tcPr>
            <w:tcW w:w="1688" w:type="pct"/>
            <w:vAlign w:val="center"/>
          </w:tcPr>
          <w:p>
            <w:pPr>
              <w:keepNext/>
              <w:jc w:val="left"/>
            </w:pPr>
            <w:r>
              <w:t xml:space="preserve">Sufinanciranje cijene usluge</w:t>
            </w:r>
          </w:p>
        </w:tc>
        <w:tc>
          <w:tcPr>
            <w:tcW w:w="951" w:type="pct"/>
            <w:vAlign w:val="center"/>
          </w:tcPr>
          <w:p>
            <w:pPr>
              <w:keepNext/>
              <w:jc w:val="center"/>
            </w:pPr>
            <w:r>
              <w:t xml:space="preserve">9.728,50</w:t>
            </w:r>
          </w:p>
        </w:tc>
        <w:tc>
          <w:tcPr>
            <w:tcW w:w="1888" w:type="pct"/>
            <w:vAlign w:val="center"/>
          </w:tcPr>
          <w:p>
            <w:pPr>
              <w:keepNext/>
              <w:jc w:val="center"/>
            </w:pPr>
            <w:r>
              <w:t xml:space="preserve">4. Prihodi za posebne namjene</w:t>
            </w:r>
          </w:p>
        </w:tc>
      </w:tr>
      <w:tr>
        <w:trPr/>
        <w:tc>
          <w:tcPr>
            <w:tcW w:w="472" w:type="pct"/>
            <w:vAlign w:val="center"/>
          </w:tcPr>
          <w:p>
            <w:pPr>
              <w:keepNext/>
              <w:jc w:val="center"/>
            </w:pPr>
            <w:r>
              <w:t xml:space="preserve">6615</w:t>
            </w:r>
          </w:p>
        </w:tc>
        <w:tc>
          <w:tcPr>
            <w:tcW w:w="1688" w:type="pct"/>
            <w:vAlign w:val="center"/>
          </w:tcPr>
          <w:p>
            <w:pPr>
              <w:keepNext/>
              <w:jc w:val="left"/>
            </w:pPr>
            <w:r>
              <w:t xml:space="preserve">Prihodi od pruženih usluga</w:t>
            </w:r>
          </w:p>
        </w:tc>
        <w:tc>
          <w:tcPr>
            <w:tcW w:w="951" w:type="pct"/>
            <w:vAlign w:val="center"/>
          </w:tcPr>
          <w:p>
            <w:pPr>
              <w:keepNext/>
              <w:jc w:val="center"/>
            </w:pPr>
            <w:r>
              <w:t xml:space="preserve">2.607,20</w:t>
            </w:r>
          </w:p>
        </w:tc>
        <w:tc>
          <w:tcPr>
            <w:tcW w:w="1888" w:type="pct"/>
            <w:vAlign w:val="center"/>
          </w:tcPr>
          <w:p>
            <w:pPr>
              <w:keepNext/>
              <w:jc w:val="center"/>
            </w:pPr>
            <w:r>
              <w:t xml:space="preserve">3. Vlastiti</w:t>
            </w:r>
          </w:p>
        </w:tc>
      </w:tr>
      <w:tr>
        <w:trPr/>
        <w:tc>
          <w:tcPr>
            <w:tcW w:w="472" w:type="pct"/>
            <w:vAlign w:val="center"/>
          </w:tcPr>
          <w:p>
            <w:pPr>
              <w:keepNext/>
              <w:jc w:val="center"/>
            </w:pPr>
            <w:r>
              <w:t xml:space="preserve">6631</w:t>
            </w:r>
          </w:p>
        </w:tc>
        <w:tc>
          <w:tcPr>
            <w:tcW w:w="1688" w:type="pct"/>
            <w:vAlign w:val="center"/>
          </w:tcPr>
          <w:p>
            <w:pPr>
              <w:keepNext/>
              <w:jc w:val="left"/>
            </w:pPr>
            <w:r>
              <w:t xml:space="preserve">Tekuće donacije</w:t>
            </w:r>
          </w:p>
        </w:tc>
        <w:tc>
          <w:tcPr>
            <w:tcW w:w="951" w:type="pct"/>
            <w:vAlign w:val="center"/>
          </w:tcPr>
          <w:p>
            <w:pPr>
              <w:keepNext/>
              <w:jc w:val="center"/>
            </w:pPr>
            <w:r>
              <w:t xml:space="preserve">500,00</w:t>
            </w:r>
          </w:p>
        </w:tc>
        <w:tc>
          <w:tcPr>
            <w:tcW w:w="1888" w:type="pct"/>
            <w:vAlign w:val="center"/>
          </w:tcPr>
          <w:p>
            <w:pPr>
              <w:keepNext/>
              <w:jc w:val="center"/>
            </w:pPr>
            <w:r>
              <w:t xml:space="preserve">6. Donacije</w:t>
            </w:r>
          </w:p>
        </w:tc>
      </w:tr>
      <w:tr>
        <w:trPr/>
        <w:tc>
          <w:tcPr>
            <w:tcW w:w="472" w:type="pct"/>
            <w:vAlign w:val="center"/>
          </w:tcPr>
          <w:p>
            <w:pPr>
              <w:keepNext/>
              <w:jc w:val="center"/>
            </w:pPr>
            <w:r>
              <w:t xml:space="preserve">6711</w:t>
            </w:r>
          </w:p>
        </w:tc>
        <w:tc>
          <w:tcPr>
            <w:tcW w:w="1688" w:type="pct"/>
            <w:vAlign w:val="center"/>
          </w:tcPr>
          <w:p>
            <w:pPr>
              <w:keepNext/>
              <w:jc w:val="left"/>
            </w:pPr>
            <w:r>
              <w:t xml:space="preserve">Prihodi iz nadležnog proračuna za financiranje rashoda poslovanja</w:t>
            </w:r>
          </w:p>
        </w:tc>
        <w:tc>
          <w:tcPr>
            <w:tcW w:w="951" w:type="pct"/>
            <w:vAlign w:val="center"/>
          </w:tcPr>
          <w:p>
            <w:pPr>
              <w:keepNext/>
              <w:jc w:val="center"/>
            </w:pPr>
            <w:r>
              <w:t xml:space="preserve">146.134,35</w:t>
            </w:r>
          </w:p>
        </w:tc>
        <w:tc>
          <w:tcPr>
            <w:tcW w:w="1888" w:type="pct"/>
            <w:vAlign w:val="center"/>
          </w:tcPr>
          <w:p>
            <w:pPr>
              <w:keepNext/>
              <w:jc w:val="center"/>
            </w:pPr>
            <w:r>
              <w:t xml:space="preserve">1.1. Opći</w:t>
            </w:r>
          </w:p>
        </w:tc>
      </w:tr>
      <w:tr>
        <w:trPr/>
        <w:tc>
          <w:tcPr>
            <w:tcW w:w="472" w:type="pct"/>
            <w:vAlign w:val="center"/>
          </w:tcPr>
          <w:p>
            <w:pPr>
              <w:keepNext/>
              <w:jc w:val="center"/>
            </w:pPr>
            <w:r>
              <w:t xml:space="preserve">6712</w:t>
            </w:r>
          </w:p>
        </w:tc>
        <w:tc>
          <w:tcPr>
            <w:tcW w:w="1688" w:type="pct"/>
            <w:vAlign w:val="center"/>
          </w:tcPr>
          <w:p>
            <w:pPr>
              <w:keepNext/>
              <w:jc w:val="left"/>
            </w:pPr>
            <w:r>
              <w:t xml:space="preserve">Prihodi iz nadležnog proračuna za financiranje rashoda za nabavu nefinancijske imovine</w:t>
            </w:r>
          </w:p>
        </w:tc>
        <w:tc>
          <w:tcPr>
            <w:tcW w:w="951" w:type="pct"/>
            <w:vAlign w:val="center"/>
          </w:tcPr>
          <w:p>
            <w:pPr>
              <w:keepNext/>
              <w:jc w:val="center"/>
            </w:pPr>
            <w:r>
              <w:t xml:space="preserve">5.229,69</w:t>
            </w:r>
          </w:p>
        </w:tc>
        <w:tc>
          <w:tcPr>
            <w:tcW w:w="1888" w:type="pct"/>
            <w:vAlign w:val="center"/>
          </w:tcPr>
          <w:p>
            <w:pPr>
              <w:keepNext/>
              <w:jc w:val="center"/>
            </w:pPr>
            <w:r>
              <w:t xml:space="preserve">1.1. Opći</w:t>
            </w:r>
          </w:p>
        </w:tc>
      </w:tr>
      <w:tr>
        <w:trPr/>
        <w:tc>
          <w:tcPr>
            <w:tcW w:w="472" w:type="pct"/>
            <w:vAlign w:val="center"/>
          </w:tcPr>
          <w:p>
            <w:pPr>
              <w:keepNext/>
              <w:jc w:val="center"/>
            </w:pPr>
            <w:r>
              <w:t xml:space="preserve"> </w:t>
            </w:r>
          </w:p>
        </w:tc>
        <w:tc>
          <w:tcPr>
            <w:tcW w:w="1688" w:type="pct"/>
            <w:vAlign w:val="center"/>
          </w:tcPr>
          <w:p>
            <w:pPr>
              <w:keepNext/>
              <w:jc w:val="center"/>
            </w:pPr>
            <w:r>
              <w:t xml:space="preserve">Ukupno kapitalnih prijenosa</w:t>
            </w:r>
          </w:p>
        </w:tc>
        <w:tc>
          <w:tcPr>
            <w:tcW w:w="951" w:type="pct"/>
            <w:vAlign w:val="center"/>
          </w:tcPr>
          <w:p>
            <w:pPr>
              <w:keepNext/>
              <w:jc w:val="center"/>
            </w:pPr>
            <w:r>
              <w:t xml:space="preserve">5.229,69</w:t>
            </w:r>
          </w:p>
        </w:tc>
        <w:tc>
          <w:tcPr>
            <w:tcW w:w="1888" w:type="pct"/>
            <w:vAlign w:val="center"/>
          </w:tcPr>
          <w:p>
            <w:pPr>
              <w:keepNext/>
              <w:jc w:val="center"/>
            </w:pPr>
            <w:r>
              <w:t xml:space="preserve">1.1. Opći</w:t>
            </w:r>
          </w:p>
        </w:tc>
      </w:tr>
    </w:tbl>
    <w:p>
      <w:r>
        <w:t xml:space="preserve"> </w:t>
      </w:r>
    </w:p>
    <w:p>
      <w:r>
        <w:t xml:space="preserve">Tijekom 2025. godine na računima kapitalnih prijenosa evidentirano je ukupno 5.229,69 EUR. </w:t>
      </w:r>
    </w:p>
    <w:p>
      <w:r>
        <w:t xml:space="preserve">Provedena je korekcija rezultata na način da se za iznos od 5.229,69 EUR zadužuje račun viška prihoda poslovanja, a odobrava račun manjka prihoda od nefinancijske imovine.</w:t>
      </w:r>
    </w:p>
    <w:tbl>
      <w:tblPr>
        <w:tblStyle w:val="TableGrid"/>
        <w:tblW w:w="2838.49" w:type="pct"/>
      </w:tblPr>
      <w:tblGrid>
        <w:gridCol w:w="898"/>
        <w:gridCol w:w="3207"/>
        <w:gridCol w:w="1453"/>
        <w:gridCol w:w="1829"/>
        <w:gridCol w:w="2237"/>
      </w:tblGrid>
      <w:tr>
        <w:trPr>
          <w:trHeight w:val="542" w:hRule="atLeast"/>
        </w:trPr>
        <w:tc>
          <w:tcPr>
            <w:tcW w:w="466" w:type="pct"/>
            <w:vAlign w:val="center"/>
          </w:tcPr>
          <w:p>
            <w:pPr>
              <w:keepNext/>
              <w:jc w:val="center"/>
            </w:pPr>
            <w:r>
              <w:t xml:space="preserve"> </w:t>
            </w:r>
          </w:p>
        </w:tc>
        <w:tc>
          <w:tcPr>
            <w:tcW w:w="1666" w:type="pct"/>
            <w:vAlign w:val="center"/>
          </w:tcPr>
          <w:p>
            <w:pPr>
              <w:keepNext/>
              <w:jc w:val="center"/>
            </w:pPr>
            <w:r>
              <w:t xml:space="preserve">POZICIJE 31.12.2025.</w:t>
            </w:r>
          </w:p>
        </w:tc>
        <w:tc>
          <w:tcPr>
            <w:tcW w:w="754" w:type="pct"/>
            <w:vAlign w:val="center"/>
          </w:tcPr>
          <w:p>
            <w:pPr>
              <w:keepNext/>
              <w:jc w:val="center"/>
            </w:pPr>
            <w:r>
              <w:t xml:space="preserve">PR-RAS</w:t>
            </w:r>
          </w:p>
        </w:tc>
        <w:tc>
          <w:tcPr>
            <w:tcW w:w="950" w:type="pct"/>
            <w:vAlign w:val="center"/>
          </w:tcPr>
          <w:p>
            <w:pPr>
              <w:keepNext/>
              <w:jc w:val="center"/>
            </w:pPr>
            <w:r>
              <w:t xml:space="preserve">KOREKCIJA</w:t>
            </w:r>
          </w:p>
        </w:tc>
        <w:tc>
          <w:tcPr>
            <w:tcW w:w="1162" w:type="pct"/>
            <w:vAlign w:val="center"/>
          </w:tcPr>
          <w:p>
            <w:pPr>
              <w:keepNext/>
              <w:jc w:val="center"/>
            </w:pPr>
            <w:r>
              <w:t xml:space="preserve">BILANCA</w:t>
            </w:r>
          </w:p>
        </w:tc>
      </w:tr>
      <w:tr>
        <w:trPr>
          <w:trHeight w:val="1022" w:hRule="atLeast"/>
        </w:trPr>
        <w:tc>
          <w:tcPr>
            <w:tcW w:w="466" w:type="pct"/>
            <w:vAlign w:val="center"/>
          </w:tcPr>
          <w:p>
            <w:pPr>
              <w:keepNext/>
              <w:jc w:val="center"/>
            </w:pPr>
            <w:r>
              <w:t xml:space="preserve">92211</w:t>
            </w:r>
          </w:p>
        </w:tc>
        <w:tc>
          <w:tcPr>
            <w:tcW w:w="1666" w:type="pct"/>
            <w:vAlign w:val="center"/>
          </w:tcPr>
          <w:p>
            <w:pPr>
              <w:keepNext/>
              <w:jc w:val="center"/>
            </w:pPr>
            <w:r>
              <w:t xml:space="preserve">Višak prihoda poslovanja</w:t>
            </w:r>
          </w:p>
        </w:tc>
        <w:tc>
          <w:tcPr>
            <w:tcW w:w="754" w:type="pct"/>
            <w:vAlign w:val="center"/>
          </w:tcPr>
          <w:p>
            <w:pPr>
              <w:keepNext/>
              <w:jc w:val="center"/>
            </w:pPr>
            <w:r>
              <w:t xml:space="preserve">10.329,33</w:t>
            </w:r>
          </w:p>
        </w:tc>
        <w:tc>
          <w:tcPr>
            <w:tcW w:w="950" w:type="pct"/>
            <w:vAlign w:val="center"/>
          </w:tcPr>
          <w:p>
            <w:pPr>
              <w:keepNext/>
              <w:jc w:val="center"/>
            </w:pPr>
            <w:r>
              <w:t xml:space="preserve">-5.229,69</w:t>
            </w:r>
          </w:p>
        </w:tc>
        <w:tc>
          <w:tcPr>
            <w:tcW w:w="1162" w:type="pct"/>
            <w:vAlign w:val="center"/>
          </w:tcPr>
          <w:p>
            <w:pPr>
              <w:keepNext/>
              <w:jc w:val="center"/>
            </w:pPr>
            <w:r>
              <w:t xml:space="preserve">5.099,64</w:t>
            </w:r>
          </w:p>
        </w:tc>
      </w:tr>
      <w:tr>
        <w:trPr>
          <w:trHeight w:val="878" w:hRule="atLeast"/>
        </w:trPr>
        <w:tc>
          <w:tcPr>
            <w:tcW w:w="466" w:type="pct"/>
            <w:vAlign w:val="center"/>
          </w:tcPr>
          <w:p>
            <w:pPr>
              <w:keepNext/>
              <w:jc w:val="center"/>
            </w:pPr>
            <w:r>
              <w:t xml:space="preserve">92212</w:t>
            </w:r>
          </w:p>
        </w:tc>
        <w:tc>
          <w:tcPr>
            <w:tcW w:w="1666" w:type="pct"/>
            <w:vAlign w:val="center"/>
          </w:tcPr>
          <w:p>
            <w:pPr>
              <w:keepNext/>
              <w:jc w:val="center"/>
            </w:pPr>
            <w:r>
              <w:t xml:space="preserve">Višak prihoda od nefinancijske imovine</w:t>
            </w:r>
          </w:p>
        </w:tc>
        <w:tc>
          <w:tcPr>
            <w:tcW w:w="754" w:type="pct"/>
            <w:vAlign w:val="center"/>
          </w:tcPr>
          <w:p>
            <w:pPr>
              <w:keepNext/>
              <w:jc w:val="center"/>
            </w:pPr>
            <w:r>
              <w:t xml:space="preserve"> </w:t>
            </w:r>
          </w:p>
        </w:tc>
        <w:tc>
          <w:tcPr>
            <w:tcW w:w="950" w:type="pct"/>
            <w:vAlign w:val="center"/>
          </w:tcPr>
          <w:p>
            <w:pPr>
              <w:keepNext/>
              <w:jc w:val="center"/>
            </w:pPr>
            <w:r>
              <w:t xml:space="preserve"> </w:t>
            </w:r>
          </w:p>
        </w:tc>
        <w:tc>
          <w:tcPr>
            <w:tcW w:w="1162" w:type="pct"/>
            <w:vAlign w:val="center"/>
          </w:tcPr>
          <w:p>
            <w:pPr>
              <w:keepNext/>
              <w:jc w:val="center"/>
            </w:pPr>
            <w:r>
              <w:t xml:space="preserve"> </w:t>
            </w:r>
          </w:p>
        </w:tc>
      </w:tr>
      <w:tr>
        <w:trPr>
          <w:trHeight w:val="878" w:hRule="atLeast"/>
        </w:trPr>
        <w:tc>
          <w:tcPr>
            <w:tcW w:w="466" w:type="pct"/>
            <w:vAlign w:val="center"/>
          </w:tcPr>
          <w:p>
            <w:pPr>
              <w:keepNext/>
              <w:jc w:val="center"/>
            </w:pPr>
            <w:r>
              <w:t xml:space="preserve">92213</w:t>
            </w:r>
          </w:p>
        </w:tc>
        <w:tc>
          <w:tcPr>
            <w:tcW w:w="1666" w:type="pct"/>
            <w:vAlign w:val="center"/>
          </w:tcPr>
          <w:p>
            <w:pPr>
              <w:keepNext/>
              <w:jc w:val="center"/>
            </w:pPr>
            <w:r>
              <w:t xml:space="preserve">Višak primitaka od financijske imovine</w:t>
            </w:r>
          </w:p>
        </w:tc>
        <w:tc>
          <w:tcPr>
            <w:tcW w:w="754" w:type="pct"/>
            <w:vAlign w:val="center"/>
          </w:tcPr>
          <w:p>
            <w:pPr>
              <w:keepNext/>
              <w:jc w:val="center"/>
            </w:pPr>
            <w:r>
              <w:t xml:space="preserve"> </w:t>
            </w:r>
          </w:p>
        </w:tc>
        <w:tc>
          <w:tcPr>
            <w:tcW w:w="950" w:type="pct"/>
            <w:vAlign w:val="center"/>
          </w:tcPr>
          <w:p>
            <w:pPr>
              <w:keepNext/>
              <w:jc w:val="center"/>
            </w:pPr>
            <w:r>
              <w:t xml:space="preserve"> </w:t>
            </w:r>
          </w:p>
        </w:tc>
        <w:tc>
          <w:tcPr>
            <w:tcW w:w="1162" w:type="pct"/>
            <w:vAlign w:val="center"/>
          </w:tcPr>
          <w:p>
            <w:pPr>
              <w:keepNext/>
              <w:jc w:val="center"/>
            </w:pPr>
            <w:r>
              <w:t xml:space="preserve"> </w:t>
            </w:r>
          </w:p>
        </w:tc>
      </w:tr>
      <w:tr>
        <w:trPr>
          <w:trHeight w:val="878" w:hRule="atLeast"/>
        </w:trPr>
        <w:tc>
          <w:tcPr>
            <w:tcW w:w="466" w:type="pct"/>
            <w:vAlign w:val="center"/>
          </w:tcPr>
          <w:p>
            <w:pPr>
              <w:keepNext/>
              <w:jc w:val="center"/>
            </w:pPr>
            <w:r>
              <w:t xml:space="preserve">92221</w:t>
            </w:r>
          </w:p>
        </w:tc>
        <w:tc>
          <w:tcPr>
            <w:tcW w:w="1666" w:type="pct"/>
            <w:vAlign w:val="center"/>
          </w:tcPr>
          <w:p>
            <w:pPr>
              <w:keepNext/>
              <w:jc w:val="center"/>
            </w:pPr>
            <w:r>
              <w:t xml:space="preserve">Manjak prihoda poslovanja</w:t>
            </w:r>
          </w:p>
        </w:tc>
        <w:tc>
          <w:tcPr>
            <w:tcW w:w="754" w:type="pct"/>
            <w:vAlign w:val="center"/>
          </w:tcPr>
          <w:p>
            <w:pPr>
              <w:keepNext/>
              <w:jc w:val="center"/>
            </w:pPr>
            <w:r>
              <w:t xml:space="preserve"> </w:t>
            </w:r>
          </w:p>
        </w:tc>
        <w:tc>
          <w:tcPr>
            <w:tcW w:w="950" w:type="pct"/>
            <w:vAlign w:val="center"/>
          </w:tcPr>
          <w:p>
            <w:pPr>
              <w:keepNext/>
              <w:jc w:val="center"/>
            </w:pPr>
            <w:r>
              <w:t xml:space="preserve"> </w:t>
            </w:r>
          </w:p>
        </w:tc>
        <w:tc>
          <w:tcPr>
            <w:tcW w:w="1162" w:type="pct"/>
            <w:vAlign w:val="center"/>
          </w:tcPr>
          <w:p>
            <w:pPr>
              <w:keepNext/>
              <w:jc w:val="center"/>
            </w:pPr>
            <w:r>
              <w:t xml:space="preserve"> </w:t>
            </w:r>
          </w:p>
        </w:tc>
      </w:tr>
      <w:tr>
        <w:trPr>
          <w:trHeight w:val="878" w:hRule="atLeast"/>
        </w:trPr>
        <w:tc>
          <w:tcPr>
            <w:tcW w:w="466" w:type="pct"/>
            <w:vAlign w:val="center"/>
          </w:tcPr>
          <w:p>
            <w:pPr>
              <w:keepNext/>
              <w:jc w:val="center"/>
            </w:pPr>
            <w:r>
              <w:t xml:space="preserve">92222</w:t>
            </w:r>
          </w:p>
        </w:tc>
        <w:tc>
          <w:tcPr>
            <w:tcW w:w="1666" w:type="pct"/>
            <w:vAlign w:val="center"/>
          </w:tcPr>
          <w:p>
            <w:pPr>
              <w:keepNext/>
              <w:jc w:val="center"/>
            </w:pPr>
            <w:r>
              <w:t xml:space="preserve">Manjak prihoda od nefinancijske imovine</w:t>
            </w:r>
          </w:p>
        </w:tc>
        <w:tc>
          <w:tcPr>
            <w:tcW w:w="754" w:type="pct"/>
            <w:vAlign w:val="center"/>
          </w:tcPr>
          <w:p>
            <w:pPr>
              <w:keepNext/>
              <w:jc w:val="center"/>
            </w:pPr>
            <w:r>
              <w:t xml:space="preserve">17.351,50</w:t>
            </w:r>
          </w:p>
        </w:tc>
        <w:tc>
          <w:tcPr>
            <w:tcW w:w="950" w:type="pct"/>
            <w:vAlign w:val="center"/>
          </w:tcPr>
          <w:p>
            <w:pPr>
              <w:keepNext/>
              <w:jc w:val="center"/>
            </w:pPr>
            <w:r>
              <w:t xml:space="preserve">-5.229,69</w:t>
            </w:r>
          </w:p>
        </w:tc>
        <w:tc>
          <w:tcPr>
            <w:tcW w:w="1162" w:type="pct"/>
            <w:vAlign w:val="center"/>
          </w:tcPr>
          <w:p>
            <w:pPr>
              <w:keepNext/>
              <w:jc w:val="center"/>
            </w:pPr>
            <w:r>
              <w:t xml:space="preserve">12.121,81</w:t>
            </w:r>
          </w:p>
        </w:tc>
      </w:tr>
      <w:tr>
        <w:trPr>
          <w:trHeight w:val="878" w:hRule="atLeast"/>
        </w:trPr>
        <w:tc>
          <w:tcPr>
            <w:tcW w:w="466" w:type="pct"/>
            <w:vAlign w:val="center"/>
          </w:tcPr>
          <w:p>
            <w:pPr>
              <w:keepNext/>
              <w:jc w:val="center"/>
            </w:pPr>
            <w:r>
              <w:t xml:space="preserve">92223</w:t>
            </w:r>
          </w:p>
        </w:tc>
        <w:tc>
          <w:tcPr>
            <w:tcW w:w="1666" w:type="pct"/>
            <w:vAlign w:val="center"/>
          </w:tcPr>
          <w:p>
            <w:pPr>
              <w:keepNext/>
              <w:jc w:val="center"/>
            </w:pPr>
            <w:r>
              <w:t xml:space="preserve">Manjak primitaka od nefinancijske imovine</w:t>
            </w:r>
          </w:p>
        </w:tc>
        <w:tc>
          <w:tcPr>
            <w:tcW w:w="754" w:type="pct"/>
            <w:vAlign w:val="center"/>
          </w:tcPr>
          <w:p>
            <w:pPr>
              <w:keepNext/>
              <w:jc w:val="center"/>
            </w:pPr>
            <w:r>
              <w:t xml:space="preserve"> </w:t>
            </w:r>
          </w:p>
        </w:tc>
        <w:tc>
          <w:tcPr>
            <w:tcW w:w="950" w:type="pct"/>
            <w:vAlign w:val="center"/>
          </w:tcPr>
          <w:p>
            <w:pPr>
              <w:keepNext/>
              <w:jc w:val="center"/>
            </w:pPr>
            <w:r>
              <w:t xml:space="preserve"> </w:t>
            </w:r>
          </w:p>
        </w:tc>
        <w:tc>
          <w:tcPr>
            <w:tcW w:w="1162" w:type="pct"/>
            <w:vAlign w:val="center"/>
          </w:tcPr>
          <w:p>
            <w:pPr>
              <w:keepNext/>
              <w:jc w:val="center"/>
            </w:pPr>
            <w:r>
              <w:t xml:space="preserve"> </w:t>
            </w:r>
          </w:p>
        </w:tc>
      </w:tr>
      <w:tr>
        <w:trPr>
          <w:trHeight w:val="443" w:hRule="atLeast"/>
        </w:trPr>
        <w:tc>
          <w:tcPr>
            <w:tcW w:w="466" w:type="pct"/>
            <w:vAlign w:val="center"/>
          </w:tcPr>
          <w:p>
            <w:pPr>
              <w:keepNext/>
              <w:jc w:val="center"/>
            </w:pPr>
            <w:r>
              <w:t xml:space="preserve">922</w:t>
            </w:r>
          </w:p>
        </w:tc>
        <w:tc>
          <w:tcPr>
            <w:tcW w:w="1666" w:type="pct"/>
            <w:vAlign w:val="center"/>
          </w:tcPr>
          <w:p>
            <w:pPr>
              <w:keepNext/>
              <w:jc w:val="center"/>
            </w:pPr>
            <w:r>
              <w:t xml:space="preserve">Višak / manjak prihoda</w:t>
            </w:r>
          </w:p>
        </w:tc>
        <w:tc>
          <w:tcPr>
            <w:tcW w:w="754" w:type="pct"/>
            <w:vAlign w:val="center"/>
          </w:tcPr>
          <w:p>
            <w:pPr>
              <w:keepNext/>
              <w:jc w:val="center"/>
            </w:pPr>
            <w:r>
              <w:t xml:space="preserve">-7.022,17</w:t>
            </w:r>
          </w:p>
        </w:tc>
        <w:tc>
          <w:tcPr>
            <w:tcW w:w="950" w:type="pct"/>
            <w:vAlign w:val="center"/>
          </w:tcPr>
          <w:p>
            <w:pPr>
              <w:keepNext/>
              <w:jc w:val="center"/>
            </w:pPr>
            <w:r>
              <w:t xml:space="preserve"> </w:t>
            </w:r>
          </w:p>
        </w:tc>
        <w:tc>
          <w:tcPr>
            <w:tcW w:w="1162" w:type="pct"/>
            <w:vAlign w:val="center"/>
          </w:tcPr>
          <w:p>
            <w:pPr>
              <w:keepNext/>
              <w:jc w:val="center"/>
            </w:pPr>
            <w:r>
              <w:t xml:space="preserve">-7.022,17</w:t>
            </w:r>
          </w:p>
        </w:tc>
      </w:tr>
    </w:tbl>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193.744,57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prema funkcijskoj klasifikaciji iznose 193.744,57 EUR, evidentirani su na brojčanoj oznaci 082 – Služba kulture.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Došlo je do smanjenja vrijednosti proizvedene dugotrajne imovine u iznosu od 7.004,94 EUR zbog amortizacije iste.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0,00 EUR. Sve obveze sa dospijećem do kraja godine su podmirene. </w:t>
      </w:r>
    </w:p>
    <w:p>
      <w:r>
        <w:t xml:space="preserve">Nepodmirene obveze su tekući režijski rashodi za prosinac 2025. godine te je dospijeće istih u idućoj godini.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uključuje tekuće režijske obveze te obveze za plaće za prosinac 2025. godine, koje nisu u dospjeću na dan 31.12.2025.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5d2f9284e943c6" /></Relationships>
</file>